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7620" b="0"/>
            <wp:docPr id="2" name="图片 2"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徽镂空-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课程指南</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《医学人文导论》</w:t>
      </w:r>
    </w:p>
    <w:p>
      <w:pPr>
        <w:spacing w:line="360" w:lineRule="auto"/>
        <w:jc w:val="center"/>
        <w:rPr>
          <w:sz w:val="30"/>
        </w:rPr>
      </w:pPr>
      <w:r>
        <w:rPr>
          <w:rFonts w:hint="eastAsia" w:ascii="华文新魏" w:hAnsi="仿宋" w:eastAsia="华文新魏"/>
          <w:b/>
          <w:sz w:val="30"/>
          <w:szCs w:val="30"/>
        </w:rPr>
        <w:t>供基础医学（朱宪彝班）专业学生使用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黑体" w:hAnsi="黑体" w:eastAsia="黑体"/>
          <w:sz w:val="44"/>
          <w:szCs w:val="44"/>
        </w:rPr>
      </w:pPr>
    </w:p>
    <w:p>
      <w:pPr>
        <w:spacing w:line="360" w:lineRule="auto"/>
        <w:rPr>
          <w:rFonts w:ascii="黑体" w:hAnsi="黑体" w:eastAsia="黑体"/>
          <w:sz w:val="44"/>
          <w:szCs w:val="44"/>
        </w:rPr>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楷体" w:hAnsi="楷体" w:eastAsia="楷体"/>
          <w:b/>
          <w:sz w:val="44"/>
          <w:szCs w:val="44"/>
        </w:rPr>
      </w:pPr>
      <w:r>
        <w:rPr>
          <w:rFonts w:hint="eastAsia" w:ascii="楷体" w:hAnsi="楷体" w:eastAsia="楷体"/>
          <w:b/>
          <w:sz w:val="44"/>
          <w:szCs w:val="44"/>
        </w:rPr>
        <w:t>二零二四年</w:t>
      </w:r>
    </w:p>
    <w:p>
      <w:pPr>
        <w:spacing w:line="360" w:lineRule="auto"/>
        <w:jc w:val="center"/>
        <w:rPr>
          <w:rFonts w:ascii="宋体" w:hAnsi="宋体"/>
          <w:b/>
          <w:sz w:val="28"/>
          <w:u w:val="single"/>
        </w:rPr>
        <w:sectPr>
          <w:headerReference r:id="rId3" w:type="default"/>
          <w:footerReference r:id="rId5"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spacing w:line="360" w:lineRule="auto"/>
        <w:jc w:val="center"/>
        <w:rPr>
          <w:b/>
          <w:sz w:val="28"/>
        </w:rPr>
      </w:pPr>
      <w:r>
        <w:rPr>
          <w:rFonts w:hint="eastAsia" w:ascii="宋体" w:hAnsi="宋体"/>
          <w:b/>
          <w:sz w:val="28"/>
          <w:u w:val="single"/>
        </w:rPr>
        <w:t>__医学人文导论__</w:t>
      </w:r>
      <w:r>
        <w:rPr>
          <w:rFonts w:hint="eastAsia"/>
          <w:b/>
          <w:sz w:val="28"/>
        </w:rPr>
        <w:t xml:space="preserve">课 程 指 南 </w:t>
      </w:r>
    </w:p>
    <w:p>
      <w:pPr>
        <w:spacing w:line="360" w:lineRule="auto"/>
        <w:ind w:firstLine="420"/>
        <w:rPr>
          <w:rFonts w:hint="eastAsia"/>
          <w:b/>
          <w:szCs w:val="21"/>
        </w:rPr>
      </w:pPr>
    </w:p>
    <w:p>
      <w:pPr>
        <w:spacing w:line="360" w:lineRule="auto"/>
        <w:ind w:firstLine="420"/>
        <w:rPr>
          <w:szCs w:val="21"/>
        </w:rPr>
      </w:pPr>
      <w:r>
        <w:rPr>
          <w:rFonts w:hint="eastAsia"/>
          <w:b/>
          <w:szCs w:val="21"/>
        </w:rPr>
        <w:t>一、课程信息 课程编号：</w:t>
      </w:r>
      <w:r>
        <w:rPr>
          <w:rFonts w:hint="eastAsia"/>
          <w:bCs/>
          <w:szCs w:val="21"/>
        </w:rPr>
        <w:t>Z2309003002</w:t>
      </w:r>
    </w:p>
    <w:p>
      <w:pPr>
        <w:spacing w:line="360" w:lineRule="auto"/>
        <w:ind w:firstLine="2108" w:firstLineChars="1000"/>
        <w:rPr>
          <w:szCs w:val="21"/>
        </w:rPr>
      </w:pPr>
      <w:r>
        <w:rPr>
          <w:rFonts w:hint="eastAsia"/>
          <w:b/>
          <w:szCs w:val="21"/>
        </w:rPr>
        <w:t>中文：</w:t>
      </w:r>
      <w:r>
        <w:rPr>
          <w:rFonts w:hint="eastAsia"/>
          <w:bCs/>
          <w:color w:val="auto"/>
          <w:szCs w:val="21"/>
        </w:rPr>
        <w:t>医学人文导论</w:t>
      </w:r>
      <w:r>
        <w:rPr>
          <w:rFonts w:hint="eastAsia"/>
          <w:bCs/>
          <w:szCs w:val="21"/>
          <w:lang w:val="en-US" w:eastAsia="zh-CN"/>
        </w:rPr>
        <w:t xml:space="preserve">    </w:t>
      </w:r>
      <w:r>
        <w:rPr>
          <w:rFonts w:hint="eastAsia"/>
          <w:b/>
          <w:szCs w:val="21"/>
        </w:rPr>
        <w:t>英文：</w:t>
      </w:r>
      <w:r>
        <w:rPr>
          <w:rFonts w:hint="eastAsia"/>
          <w:bCs/>
          <w:szCs w:val="21"/>
        </w:rPr>
        <w:t>MedicalHumanities</w:t>
      </w:r>
    </w:p>
    <w:p>
      <w:pPr>
        <w:spacing w:line="360" w:lineRule="auto"/>
        <w:ind w:firstLine="420"/>
        <w:rPr>
          <w:szCs w:val="21"/>
        </w:rPr>
      </w:pPr>
      <w:r>
        <w:rPr>
          <w:rFonts w:hint="eastAsia"/>
          <w:b/>
          <w:szCs w:val="21"/>
        </w:rPr>
        <w:t>二、开课学院（系）、</w:t>
      </w:r>
      <w:r>
        <w:rPr>
          <w:rFonts w:hint="eastAsia"/>
          <w:b/>
        </w:rPr>
        <w:t>系（教研室）</w:t>
      </w:r>
      <w:r>
        <w:rPr>
          <w:rFonts w:hint="eastAsia"/>
          <w:b/>
          <w:szCs w:val="21"/>
        </w:rPr>
        <w:t>：</w:t>
      </w:r>
      <w:r>
        <w:rPr>
          <w:rFonts w:hint="eastAsia"/>
          <w:color w:val="auto"/>
        </w:rPr>
        <w:t>医学人文学院医学伦理与法学系医学伦理学教研室</w:t>
      </w:r>
    </w:p>
    <w:p>
      <w:pPr>
        <w:spacing w:line="360" w:lineRule="auto"/>
        <w:ind w:firstLine="410"/>
        <w:rPr>
          <w:b/>
        </w:rPr>
      </w:pPr>
      <w:r>
        <w:rPr>
          <w:rFonts w:hint="eastAsia"/>
          <w:b/>
          <w:szCs w:val="21"/>
        </w:rPr>
        <w:t>三、学时学分：</w:t>
      </w:r>
      <w:r>
        <w:rPr>
          <w:rFonts w:hint="eastAsia"/>
          <w:b/>
        </w:rPr>
        <w:t>学分：2； 总学时：32； 理论学时：3</w:t>
      </w:r>
      <w:r>
        <w:rPr>
          <w:b/>
        </w:rPr>
        <w:t>2</w:t>
      </w:r>
      <w:r>
        <w:rPr>
          <w:rFonts w:hint="eastAsia"/>
          <w:b/>
        </w:rPr>
        <w:t>（含自主学习学时：2）；实验或实践学时：0</w:t>
      </w:r>
    </w:p>
    <w:p>
      <w:pPr>
        <w:spacing w:line="360" w:lineRule="auto"/>
        <w:ind w:firstLine="410"/>
        <w:rPr>
          <w:szCs w:val="21"/>
        </w:rPr>
      </w:pPr>
      <w:r>
        <w:rPr>
          <w:rFonts w:hint="eastAsia"/>
          <w:b/>
          <w:szCs w:val="21"/>
        </w:rPr>
        <w:t>四、</w:t>
      </w:r>
      <w:r>
        <w:rPr>
          <w:rFonts w:hint="eastAsia"/>
          <w:b/>
        </w:rPr>
        <w:t>授课对象： 基础医学专业</w:t>
      </w:r>
    </w:p>
    <w:p>
      <w:pPr>
        <w:spacing w:line="360" w:lineRule="auto"/>
        <w:rPr>
          <w:b/>
          <w:szCs w:val="21"/>
        </w:rPr>
      </w:pPr>
      <w:r>
        <w:rPr>
          <w:rFonts w:hint="eastAsia"/>
          <w:b/>
          <w:szCs w:val="21"/>
        </w:rPr>
        <w:t xml:space="preserve">    五、课程基本内容简介</w:t>
      </w:r>
    </w:p>
    <w:p>
      <w:pPr>
        <w:spacing w:line="360" w:lineRule="auto"/>
        <w:ind w:firstLine="411" w:firstLineChars="196"/>
        <w:rPr>
          <w:color w:val="auto"/>
        </w:rPr>
      </w:pPr>
      <w:bookmarkStart w:id="0" w:name="_Hlk152767122"/>
      <w:r>
        <w:rPr>
          <w:rFonts w:hint="eastAsia"/>
          <w:color w:val="auto"/>
        </w:rPr>
        <w:t>医学人文学是一项跨学科与多学科的领域，主要探究医学与健康照护中所涉及的背景、经验、批判性与概念性分析，以此帮助职业人格的形成。课程从</w:t>
      </w:r>
      <w:r>
        <w:rPr>
          <w:rFonts w:ascii="Helvetica" w:hAnsi="Helvetica" w:cs="Helvetica"/>
          <w:color w:val="auto"/>
          <w:szCs w:val="21"/>
          <w:shd w:val="clear" w:color="auto" w:fill="FFFFFF"/>
        </w:rPr>
        <w:t>历史、社会、伦理、法律等方面，系统地介绍医学发展的脉络及现况，阐释医学与社会文化等因素的互动关系；从理性的维度，反思医学发展给人类社会带来的</w:t>
      </w:r>
      <w:r>
        <w:rPr>
          <w:rFonts w:hint="eastAsia" w:ascii="Helvetica" w:hAnsi="Helvetica" w:cs="Helvetica"/>
          <w:color w:val="auto"/>
          <w:szCs w:val="21"/>
          <w:shd w:val="clear" w:color="auto" w:fill="FFFFFF"/>
        </w:rPr>
        <w:t>伦理挑战</w:t>
      </w:r>
      <w:r>
        <w:rPr>
          <w:rFonts w:ascii="Helvetica" w:hAnsi="Helvetica" w:cs="Helvetica"/>
          <w:color w:val="auto"/>
          <w:szCs w:val="21"/>
          <w:shd w:val="clear" w:color="auto" w:fill="FFFFFF"/>
        </w:rPr>
        <w:t>，帮助医学生为今后所从事的医学事业做好充分的心理准备</w:t>
      </w:r>
      <w:r>
        <w:rPr>
          <w:rFonts w:hint="eastAsia" w:ascii="Helvetica" w:hAnsi="Helvetica" w:cs="Helvetica"/>
          <w:color w:val="auto"/>
          <w:szCs w:val="21"/>
          <w:shd w:val="clear" w:color="auto" w:fill="FFFFFF"/>
        </w:rPr>
        <w:t>。</w:t>
      </w:r>
    </w:p>
    <w:p>
      <w:pPr>
        <w:spacing w:line="360" w:lineRule="auto"/>
        <w:ind w:firstLine="411" w:firstLineChars="196"/>
        <w:rPr>
          <w:color w:val="auto"/>
        </w:rPr>
      </w:pPr>
      <w:r>
        <w:rPr>
          <w:rFonts w:hint="eastAsia"/>
          <w:color w:val="auto"/>
        </w:rPr>
        <w:t>在教学理念上，搭建“思政”、“美育”与医学人文的三位一体。课程紧扣“健康中国”战略提出的“</w:t>
      </w:r>
      <w:r>
        <w:rPr>
          <w:color w:val="auto"/>
        </w:rPr>
        <w:t>为人民群众提供全方位全周期健康服务</w:t>
      </w:r>
      <w:r>
        <w:rPr>
          <w:rFonts w:hint="eastAsia"/>
          <w:color w:val="auto"/>
        </w:rPr>
        <w:t>”“这一核心内容，诠释医学人文的核心精神，并将基础医学研究与应用中的医学伦理和法律要素进行融合连接。在教学工具上，遴选了具有医学内容的经典文学、电影、油画、音乐等美学载体，使学生增强对医学的审美体验，突出形成性评价。</w:t>
      </w:r>
    </w:p>
    <w:p>
      <w:pPr>
        <w:spacing w:line="360" w:lineRule="auto"/>
        <w:ind w:firstLine="411" w:firstLineChars="196"/>
        <w:rPr>
          <w:szCs w:val="21"/>
        </w:rPr>
      </w:pPr>
      <w:r>
        <w:rPr>
          <w:rFonts w:hint="eastAsia"/>
          <w:color w:val="auto"/>
        </w:rPr>
        <w:t>本课程在内容设计上突出“一个核心</w:t>
      </w:r>
      <w:bookmarkStart w:id="1" w:name="_GoBack"/>
      <w:bookmarkEnd w:id="1"/>
      <w:r>
        <w:rPr>
          <w:rFonts w:hint="eastAsia"/>
          <w:color w:val="auto"/>
        </w:rPr>
        <w:t>，三条主线”。（1）一个核心：现代医学如何实现“</w:t>
      </w:r>
      <w:r>
        <w:rPr>
          <w:color w:val="auto"/>
        </w:rPr>
        <w:t>为人民群众提供全方位全周期健康服务</w:t>
      </w:r>
      <w:r>
        <w:rPr>
          <w:rFonts w:hint="eastAsia"/>
          <w:color w:val="auto"/>
        </w:rPr>
        <w:t>”（全人照护）；（2）主线一：医学生人文素养的特殊性；（3）主线二：现代社会，如何照护个体在生命周期中面临的出生、衰老、疾痛、死亡等关键阶段：（4）主线三：基础医学研究与应用面临的伦理与法律问题。</w:t>
      </w:r>
      <w:bookmarkEnd w:id="0"/>
    </w:p>
    <w:p>
      <w:pPr>
        <w:spacing w:line="360" w:lineRule="auto"/>
        <w:ind w:firstLine="435"/>
        <w:rPr>
          <w:b/>
        </w:rPr>
      </w:pPr>
      <w:r>
        <w:rPr>
          <w:rFonts w:hint="eastAsia"/>
          <w:b/>
          <w:szCs w:val="21"/>
        </w:rPr>
        <w:t>六、</w:t>
      </w:r>
      <w:r>
        <w:rPr>
          <w:rFonts w:hint="eastAsia"/>
          <w:b/>
        </w:rPr>
        <w:t>教学目标</w:t>
      </w:r>
    </w:p>
    <w:p>
      <w:pPr>
        <w:spacing w:line="360" w:lineRule="auto"/>
        <w:rPr>
          <w:b/>
          <w:szCs w:val="21"/>
        </w:rPr>
      </w:pPr>
      <w:r>
        <w:rPr>
          <w:rFonts w:hint="eastAsia"/>
          <w:b/>
          <w:szCs w:val="21"/>
        </w:rPr>
        <w:t xml:space="preserve">    1.知识学习目标</w:t>
      </w:r>
    </w:p>
    <w:p>
      <w:pPr>
        <w:spacing w:line="360" w:lineRule="auto"/>
        <w:ind w:firstLine="420"/>
      </w:pPr>
      <w:r>
        <w:rPr>
          <w:rFonts w:hint="eastAsia"/>
        </w:rPr>
        <w:t>（1）掌握医学人文的基本理论视角与历史文化内涵；</w:t>
      </w:r>
    </w:p>
    <w:p>
      <w:pPr>
        <w:spacing w:line="360" w:lineRule="auto"/>
        <w:ind w:firstLine="420"/>
      </w:pPr>
      <w:r>
        <w:rPr>
          <w:rFonts w:hint="eastAsia"/>
        </w:rPr>
        <w:t>（2）掌握人文生命周期中死亡、衰老、患病的特征与意义；</w:t>
      </w:r>
    </w:p>
    <w:p>
      <w:pPr>
        <w:spacing w:line="360" w:lineRule="auto"/>
        <w:ind w:firstLine="420"/>
      </w:pPr>
      <w:r>
        <w:rPr>
          <w:rFonts w:hint="eastAsia"/>
        </w:rPr>
        <w:t>（3）掌握现代医学研究中伦理与法律的基本要求；</w:t>
      </w:r>
    </w:p>
    <w:p>
      <w:pPr>
        <w:spacing w:line="360" w:lineRule="auto"/>
        <w:ind w:firstLine="420"/>
      </w:pPr>
      <w:r>
        <w:rPr>
          <w:rFonts w:hint="eastAsia"/>
        </w:rPr>
        <w:t>（4）掌握现代医学新技术应用中伦理与法律的基本要求。</w:t>
      </w:r>
    </w:p>
    <w:p>
      <w:pPr>
        <w:spacing w:line="360" w:lineRule="auto"/>
        <w:rPr>
          <w:b/>
          <w:szCs w:val="21"/>
        </w:rPr>
      </w:pPr>
      <w:r>
        <w:rPr>
          <w:rFonts w:hint="eastAsia"/>
          <w:b/>
          <w:szCs w:val="21"/>
        </w:rPr>
        <w:t xml:space="preserve">    2.技能学习目标</w:t>
      </w:r>
    </w:p>
    <w:p>
      <w:pPr>
        <w:spacing w:line="360" w:lineRule="auto"/>
        <w:ind w:firstLine="420" w:firstLineChars="200"/>
      </w:pPr>
      <w:r>
        <w:rPr>
          <w:rFonts w:hint="eastAsia"/>
        </w:rPr>
        <w:t>（1）掌握“医文”结合的初级跨学科思考方法；</w:t>
      </w:r>
    </w:p>
    <w:p>
      <w:pPr>
        <w:spacing w:line="360" w:lineRule="auto"/>
        <w:ind w:firstLine="420" w:firstLineChars="200"/>
      </w:pPr>
      <w:r>
        <w:rPr>
          <w:rFonts w:hint="eastAsia"/>
        </w:rPr>
        <w:t>（2）掌握医学审美体验、叙事医学等医学人文初级研究方法；</w:t>
      </w:r>
    </w:p>
    <w:p>
      <w:pPr>
        <w:spacing w:line="360" w:lineRule="auto"/>
        <w:ind w:firstLine="420"/>
      </w:pPr>
      <w:r>
        <w:rPr>
          <w:rFonts w:hint="eastAsia"/>
        </w:rPr>
        <w:t>（3）掌握案例分析、有效提问、反思性写作等基本人文探究技能。</w:t>
      </w:r>
    </w:p>
    <w:p>
      <w:pPr>
        <w:spacing w:line="360" w:lineRule="auto"/>
        <w:rPr>
          <w:szCs w:val="21"/>
        </w:rPr>
      </w:pPr>
      <w:r>
        <w:rPr>
          <w:rFonts w:hint="eastAsia"/>
          <w:b/>
          <w:szCs w:val="21"/>
        </w:rPr>
        <w:t xml:space="preserve">  </w:t>
      </w:r>
      <w:r>
        <w:rPr>
          <w:rFonts w:hint="eastAsia"/>
          <w:b/>
          <w:szCs w:val="21"/>
          <w:lang w:val="en-US" w:eastAsia="zh-CN"/>
        </w:rPr>
        <w:t xml:space="preserve">  </w:t>
      </w:r>
      <w:r>
        <w:rPr>
          <w:rFonts w:hint="eastAsia"/>
          <w:b/>
          <w:szCs w:val="21"/>
        </w:rPr>
        <w:t>3.思政目标</w:t>
      </w:r>
    </w:p>
    <w:tbl>
      <w:tblPr>
        <w:tblStyle w:val="7"/>
        <w:tblpPr w:leftFromText="180" w:rightFromText="180" w:vertAnchor="text" w:tblpXSpec="center" w:tblpY="1"/>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155"/>
        <w:gridCol w:w="1814"/>
        <w:gridCol w:w="17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序号</w:t>
            </w:r>
          </w:p>
        </w:tc>
        <w:tc>
          <w:tcPr>
            <w:tcW w:w="2155" w:type="dxa"/>
            <w:vAlign w:val="center"/>
          </w:tcPr>
          <w:p>
            <w:pPr>
              <w:spacing w:line="288" w:lineRule="auto"/>
              <w:jc w:val="center"/>
              <w:rPr>
                <w:b/>
              </w:rPr>
            </w:pPr>
            <w:r>
              <w:rPr>
                <w:rFonts w:hint="eastAsia"/>
                <w:b/>
              </w:rPr>
              <w:t>章节</w:t>
            </w:r>
          </w:p>
        </w:tc>
        <w:tc>
          <w:tcPr>
            <w:tcW w:w="1814" w:type="dxa"/>
            <w:vAlign w:val="center"/>
          </w:tcPr>
          <w:p>
            <w:pPr>
              <w:spacing w:line="288" w:lineRule="auto"/>
              <w:jc w:val="center"/>
              <w:rPr>
                <w:b/>
              </w:rPr>
            </w:pPr>
            <w:r>
              <w:rPr>
                <w:rFonts w:hint="eastAsia"/>
                <w:b/>
              </w:rPr>
              <w:t>专业知识点</w:t>
            </w:r>
          </w:p>
        </w:tc>
        <w:tc>
          <w:tcPr>
            <w:tcW w:w="1701" w:type="dxa"/>
            <w:vAlign w:val="center"/>
          </w:tcPr>
          <w:p>
            <w:pPr>
              <w:spacing w:line="288" w:lineRule="auto"/>
              <w:jc w:val="center"/>
              <w:rPr>
                <w:b/>
              </w:rPr>
            </w:pPr>
            <w:r>
              <w:rPr>
                <w:rFonts w:hint="eastAsia"/>
                <w:b/>
              </w:rPr>
              <w:t>思政元素点</w:t>
            </w:r>
          </w:p>
        </w:tc>
        <w:tc>
          <w:tcPr>
            <w:tcW w:w="2126" w:type="dxa"/>
            <w:vAlign w:val="center"/>
          </w:tcPr>
          <w:p>
            <w:pPr>
              <w:spacing w:line="288" w:lineRule="auto"/>
              <w:jc w:val="center"/>
              <w:rPr>
                <w:b/>
              </w:rPr>
            </w:pPr>
            <w:r>
              <w:rPr>
                <w:rFonts w:hint="eastAsia"/>
                <w:b/>
              </w:rPr>
              <w:t>思政目标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pPr>
            <w:r>
              <w:rPr>
                <w:rFonts w:hint="eastAsia"/>
              </w:rPr>
              <w:t>1</w:t>
            </w:r>
          </w:p>
        </w:tc>
        <w:tc>
          <w:tcPr>
            <w:tcW w:w="2155" w:type="dxa"/>
          </w:tcPr>
          <w:p>
            <w:pPr>
              <w:jc w:val="left"/>
            </w:pPr>
            <w:r>
              <w:rPr>
                <w:rFonts w:hint="eastAsia"/>
              </w:rPr>
              <w:t>第一章   医学人文理论基础</w:t>
            </w:r>
          </w:p>
        </w:tc>
        <w:tc>
          <w:tcPr>
            <w:tcW w:w="1814" w:type="dxa"/>
          </w:tcPr>
          <w:p>
            <w:r>
              <w:rPr>
                <w:rFonts w:hint="eastAsia"/>
              </w:rPr>
              <w:t>“人文”的基本内涵。</w:t>
            </w:r>
          </w:p>
          <w:p>
            <w:pPr>
              <w:spacing w:line="288" w:lineRule="auto"/>
              <w:rPr>
                <w:b/>
              </w:rPr>
            </w:pPr>
          </w:p>
        </w:tc>
        <w:tc>
          <w:tcPr>
            <w:tcW w:w="1701" w:type="dxa"/>
          </w:tcPr>
          <w:p>
            <w:r>
              <w:rPr>
                <w:rFonts w:hint="eastAsia"/>
              </w:rPr>
              <w:t>习近平总书记关于教育的重要论述。</w:t>
            </w:r>
          </w:p>
          <w:p/>
          <w:p>
            <w:r>
              <w:t>习近平总书记关于“两个结合”的重要论述</w:t>
            </w:r>
            <w:r>
              <w:rPr>
                <w:rFonts w:hint="eastAsia"/>
              </w:rPr>
              <w:t>。</w:t>
            </w:r>
          </w:p>
        </w:tc>
        <w:tc>
          <w:tcPr>
            <w:tcW w:w="2126" w:type="dxa"/>
          </w:tcPr>
          <w:p>
            <w:pPr>
              <w:jc w:val="left"/>
            </w:pPr>
            <w:r>
              <w:rPr>
                <w:rFonts w:hint="eastAsia"/>
              </w:rPr>
              <w:t>深入领会：</w:t>
            </w:r>
          </w:p>
          <w:p>
            <w:pPr>
              <w:jc w:val="left"/>
            </w:pPr>
            <w:r>
              <w:rPr>
                <w:rFonts w:hint="eastAsia"/>
              </w:rPr>
              <w:t>（1）“立德树人”是教育的宗旨；</w:t>
            </w:r>
          </w:p>
          <w:p>
            <w:pPr>
              <w:jc w:val="left"/>
            </w:pPr>
            <w:r>
              <w:rPr>
                <w:rFonts w:hint="eastAsia"/>
              </w:rPr>
              <w:t>（2）教育要思考“培养什么样的人、如何培养人以及为谁培养人”的问题。</w:t>
            </w:r>
          </w:p>
          <w:p>
            <w:pPr>
              <w:widowControl/>
              <w:shd w:val="clear" w:color="auto" w:fill="FFFFFF"/>
              <w:jc w:val="left"/>
              <w:outlineLvl w:val="0"/>
            </w:pPr>
            <w:r>
              <w:rPr>
                <w:rFonts w:hint="eastAsia"/>
              </w:rPr>
              <w:t>（3）</w:t>
            </w:r>
            <w:r>
              <w:t>“两个结合”的</w:t>
            </w:r>
            <w:r>
              <w:rPr>
                <w:rFonts w:hint="eastAsia"/>
              </w:rPr>
              <w:t>核心要旨：“</w:t>
            </w:r>
            <w:r>
              <w:t>坚持把马克思主义基本原理同中国具体实际相结合、同中华优秀传统文化相结合</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pPr>
            <w:r>
              <w:rPr>
                <w:rFonts w:hint="eastAsia"/>
              </w:rPr>
              <w:t>2</w:t>
            </w:r>
          </w:p>
        </w:tc>
        <w:tc>
          <w:tcPr>
            <w:tcW w:w="2155" w:type="dxa"/>
          </w:tcPr>
          <w:p>
            <w:pPr>
              <w:jc w:val="left"/>
            </w:pPr>
            <w:r>
              <w:rPr>
                <w:rFonts w:hint="eastAsia"/>
              </w:rPr>
              <w:t>第二章   医学人文发展简史</w:t>
            </w:r>
          </w:p>
          <w:p>
            <w:pPr>
              <w:spacing w:line="360" w:lineRule="auto"/>
              <w:jc w:val="left"/>
            </w:pPr>
          </w:p>
        </w:tc>
        <w:tc>
          <w:tcPr>
            <w:tcW w:w="1814" w:type="dxa"/>
          </w:tcPr>
          <w:p>
            <w:r>
              <w:rPr>
                <w:rFonts w:hint="eastAsia"/>
              </w:rPr>
              <w:t>健康与医学模式发展</w:t>
            </w:r>
          </w:p>
        </w:tc>
        <w:tc>
          <w:tcPr>
            <w:tcW w:w="1701" w:type="dxa"/>
          </w:tcPr>
          <w:p>
            <w:r>
              <w:rPr>
                <w:rFonts w:hint="eastAsia"/>
              </w:rPr>
              <w:t>习近平总书记关于健康中国战略的重要论述。</w:t>
            </w:r>
          </w:p>
          <w:p/>
          <w:p>
            <w:r>
              <w:rPr>
                <w:rFonts w:hint="eastAsia"/>
              </w:rPr>
              <w:t>天医“德高医粹”精神的文化传承。</w:t>
            </w:r>
          </w:p>
        </w:tc>
        <w:tc>
          <w:tcPr>
            <w:tcW w:w="2126" w:type="dxa"/>
          </w:tcPr>
          <w:p>
            <w:r>
              <w:rPr>
                <w:rFonts w:hint="eastAsia"/>
              </w:rPr>
              <w:t>深入领会：</w:t>
            </w:r>
          </w:p>
          <w:p>
            <w:r>
              <w:rPr>
                <w:rFonts w:hint="eastAsia"/>
              </w:rPr>
              <w:t>（1）“卫生工作要把以治病为中心转变为以人民健康为中心”；</w:t>
            </w:r>
          </w:p>
          <w:p>
            <w:r>
              <w:rPr>
                <w:rFonts w:hint="eastAsia"/>
              </w:rPr>
              <w:t>（2）“没有全民健康，就没有全面小康。要把人民健康放在优先发展的战略地位”；</w:t>
            </w:r>
          </w:p>
          <w:p>
            <w:r>
              <w:rPr>
                <w:rFonts w:hint="eastAsia"/>
              </w:rPr>
              <w:t>（3）“努力全方位全周期保障人民健康。”的深刻内涵。</w:t>
            </w:r>
          </w:p>
          <w:p>
            <w:r>
              <w:rPr>
                <w:rFonts w:hint="eastAsia"/>
              </w:rPr>
              <w:t>（4）朱宪彝校长的行医思想。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3</w:t>
            </w:r>
          </w:p>
        </w:tc>
        <w:tc>
          <w:tcPr>
            <w:tcW w:w="2155" w:type="dxa"/>
          </w:tcPr>
          <w:p>
            <w:pPr>
              <w:jc w:val="left"/>
            </w:pPr>
            <w:r>
              <w:rPr>
                <w:rFonts w:hint="eastAsia"/>
              </w:rPr>
              <w:t>第五章   医学研究的伦理与法律</w:t>
            </w:r>
          </w:p>
          <w:p>
            <w:pPr>
              <w:jc w:val="left"/>
            </w:pPr>
          </w:p>
        </w:tc>
        <w:tc>
          <w:tcPr>
            <w:tcW w:w="1814" w:type="dxa"/>
          </w:tcPr>
          <w:p>
            <w:pPr>
              <w:spacing w:line="288" w:lineRule="auto"/>
              <w:rPr>
                <w:b/>
              </w:rPr>
            </w:pPr>
            <w:r>
              <w:rPr>
                <w:rFonts w:hint="eastAsia"/>
              </w:rPr>
              <w:t>理解医学伦理与医学法律的关系。</w:t>
            </w:r>
          </w:p>
        </w:tc>
        <w:tc>
          <w:tcPr>
            <w:tcW w:w="1701" w:type="dxa"/>
          </w:tcPr>
          <w:p>
            <w:r>
              <w:rPr>
                <w:rFonts w:hint="eastAsia"/>
              </w:rPr>
              <w:t>习近平总书记关于卫生与健康工作的重要论述。</w:t>
            </w:r>
          </w:p>
          <w:p/>
          <w:p>
            <w:r>
              <w:rPr>
                <w:rFonts w:hint="eastAsia"/>
              </w:rPr>
              <w:t>习近平总书记关于“</w:t>
            </w:r>
            <w:r>
              <w:t>科技自立自强</w:t>
            </w:r>
            <w:r>
              <w:rPr>
                <w:rFonts w:hint="eastAsia"/>
              </w:rPr>
              <w:t>”的论述。</w:t>
            </w:r>
          </w:p>
        </w:tc>
        <w:tc>
          <w:tcPr>
            <w:tcW w:w="2126" w:type="dxa"/>
          </w:tcPr>
          <w:p>
            <w:r>
              <w:rPr>
                <w:rFonts w:hint="eastAsia"/>
              </w:rPr>
              <w:t>深入领会：</w:t>
            </w:r>
          </w:p>
          <w:p>
            <w:r>
              <w:rPr>
                <w:rFonts w:hint="eastAsia"/>
              </w:rPr>
              <w:t>（1）中国新时代“敬佑生命、救死扶伤、甘于奉献、大爱无疆”的医学职业精神；</w:t>
            </w:r>
          </w:p>
          <w:p>
            <w:r>
              <w:rPr>
                <w:rFonts w:hint="eastAsia"/>
              </w:rPr>
              <w:t>（2）</w:t>
            </w:r>
            <w:r>
              <w:t>科技立则民族立，科技强则国家强。在党中央坚强领导下，在全国科技界和社会各界共同努力下，我国科技实力正在从量的积累迈向质的飞跃、从点的突破迈向系统能力提升，科技创新取得新的历史性成就。</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4</w:t>
            </w:r>
          </w:p>
        </w:tc>
        <w:tc>
          <w:tcPr>
            <w:tcW w:w="2155" w:type="dxa"/>
          </w:tcPr>
          <w:p>
            <w:r>
              <w:rPr>
                <w:rFonts w:hint="eastAsia"/>
              </w:rPr>
              <w:t>第六章  医学新技术应用中的伦理与法律</w:t>
            </w:r>
          </w:p>
        </w:tc>
        <w:tc>
          <w:tcPr>
            <w:tcW w:w="1814" w:type="dxa"/>
          </w:tcPr>
          <w:p>
            <w:pPr>
              <w:spacing w:line="288" w:lineRule="auto"/>
              <w:rPr>
                <w:b/>
              </w:rPr>
            </w:pPr>
            <w:r>
              <w:rPr>
                <w:rFonts w:hint="eastAsia"/>
              </w:rPr>
              <w:t>理解医学伦理与医学法律的关系。</w:t>
            </w:r>
          </w:p>
        </w:tc>
        <w:tc>
          <w:tcPr>
            <w:tcW w:w="1701" w:type="dxa"/>
          </w:tcPr>
          <w:p>
            <w:pPr>
              <w:spacing w:line="288" w:lineRule="auto"/>
            </w:pPr>
            <w:r>
              <w:t>习近平总书记和党中央对科技伦理治理工作一系列顶层设计和战略部署</w:t>
            </w:r>
            <w:r>
              <w:rPr>
                <w:rFonts w:hint="eastAsia"/>
              </w:rPr>
              <w:t>。</w:t>
            </w:r>
          </w:p>
        </w:tc>
        <w:tc>
          <w:tcPr>
            <w:tcW w:w="2126" w:type="dxa"/>
          </w:tcPr>
          <w:p>
            <w:r>
              <w:rPr>
                <w:rFonts w:hint="eastAsia"/>
              </w:rPr>
              <w:t>深入领会：</w:t>
            </w:r>
            <w:r>
              <w:t>强调科技伦理是科技活动必须遵守的价值准则，要坚持增进人类福祉、尊重生命权利、公平公正、合理控制风险、保持公开透明的原则，健全多方参与、协同共治的治理体制机制，塑造科技向善的文化理念和保障机制。</w:t>
            </w:r>
          </w:p>
        </w:tc>
      </w:tr>
    </w:tbl>
    <w:p>
      <w:pPr>
        <w:spacing w:line="360" w:lineRule="auto"/>
        <w:ind w:firstLine="422" w:firstLineChars="200"/>
        <w:rPr>
          <w:b/>
        </w:rPr>
      </w:pPr>
      <w:r>
        <w:rPr>
          <w:rFonts w:hint="eastAsia"/>
          <w:b/>
        </w:rPr>
        <w:t>七、主要教学方法</w:t>
      </w:r>
    </w:p>
    <w:p>
      <w:pPr>
        <w:spacing w:line="360" w:lineRule="auto"/>
        <w:ind w:firstLine="420" w:firstLineChars="200"/>
      </w:pPr>
      <w:r>
        <w:rPr>
          <w:rFonts w:hint="eastAsia" w:hAnsi="宋体"/>
        </w:rPr>
        <w:t>本课程</w:t>
      </w:r>
      <w:r>
        <w:rPr>
          <w:rFonts w:hAnsi="宋体"/>
        </w:rPr>
        <w:t>主要</w:t>
      </w:r>
      <w:r>
        <w:rPr>
          <w:rFonts w:hint="eastAsia" w:hAnsi="宋体"/>
        </w:rPr>
        <w:t>教学</w:t>
      </w:r>
      <w:r>
        <w:rPr>
          <w:rFonts w:hAnsi="宋体"/>
        </w:rPr>
        <w:t>方法为理论教学</w:t>
      </w:r>
      <w:r>
        <w:rPr>
          <w:rFonts w:hint="eastAsia" w:hAnsi="宋体"/>
        </w:rPr>
        <w:t>、</w:t>
      </w:r>
      <w:r>
        <w:rPr>
          <w:rFonts w:hAnsi="宋体"/>
        </w:rPr>
        <w:t>案例讨论</w:t>
      </w:r>
      <w:r>
        <w:rPr>
          <w:rFonts w:hint="eastAsia" w:hAnsi="宋体"/>
        </w:rPr>
        <w:t>、</w:t>
      </w:r>
      <w:r>
        <w:rPr>
          <w:rFonts w:hAnsi="宋体"/>
        </w:rPr>
        <w:t>自主学习</w:t>
      </w:r>
      <w:r>
        <w:t>。</w:t>
      </w:r>
    </w:p>
    <w:p>
      <w:pPr>
        <w:spacing w:line="360" w:lineRule="auto"/>
        <w:ind w:firstLine="422" w:firstLineChars="200"/>
        <w:rPr>
          <w:b/>
        </w:rPr>
      </w:pPr>
      <w:r>
        <w:rPr>
          <w:rFonts w:hint="eastAsia"/>
          <w:b/>
        </w:rPr>
        <w:t>八、参考教材（名称、主编、出版社、出版时间）</w:t>
      </w:r>
    </w:p>
    <w:p>
      <w:pPr>
        <w:spacing w:line="360" w:lineRule="auto"/>
        <w:ind w:firstLine="420" w:firstLineChars="200"/>
        <w:rPr>
          <w:b/>
        </w:rPr>
      </w:pPr>
      <w:r>
        <w:rPr>
          <w:rFonts w:hint="eastAsia"/>
        </w:rPr>
        <w:t>医学人文导论，</w:t>
      </w:r>
      <w:r>
        <w:t>汤其群、孙向晨</w:t>
      </w:r>
      <w:r>
        <w:rPr>
          <w:rFonts w:hint="eastAsia"/>
        </w:rPr>
        <w:t>主编；</w:t>
      </w:r>
      <w:r>
        <w:rPr>
          <w:rFonts w:ascii="Helvetica" w:hAnsi="Helvetica" w:cs="Helvetica"/>
          <w:color w:val="333333"/>
          <w:sz w:val="18"/>
          <w:szCs w:val="18"/>
          <w:shd w:val="clear" w:color="auto" w:fill="FFFFFF"/>
        </w:rPr>
        <w:t>复旦大学出版社</w:t>
      </w:r>
      <w:r>
        <w:rPr>
          <w:rFonts w:hint="eastAsia"/>
        </w:rPr>
        <w:t>，2020年</w:t>
      </w:r>
    </w:p>
    <w:p>
      <w:pPr>
        <w:spacing w:line="360" w:lineRule="auto"/>
        <w:ind w:firstLine="422" w:firstLineChars="200"/>
        <w:rPr>
          <w:b/>
        </w:rPr>
      </w:pPr>
      <w:r>
        <w:rPr>
          <w:rFonts w:hint="eastAsia"/>
          <w:b/>
        </w:rPr>
        <w:t>九、教学学习</w:t>
      </w:r>
      <w:r>
        <w:rPr>
          <w:b/>
        </w:rPr>
        <w:t>资源</w:t>
      </w:r>
      <w:r>
        <w:rPr>
          <w:rFonts w:hint="eastAsia"/>
          <w:b/>
        </w:rPr>
        <w:t>或</w:t>
      </w:r>
      <w:r>
        <w:rPr>
          <w:b/>
        </w:rPr>
        <w:t>平台</w:t>
      </w:r>
    </w:p>
    <w:p>
      <w:pPr>
        <w:spacing w:line="360" w:lineRule="auto"/>
        <w:ind w:firstLine="420" w:firstLineChars="200"/>
      </w:pPr>
      <w:r>
        <w:rPr>
          <w:rFonts w:hint="eastAsia"/>
        </w:rPr>
        <w:t>本课程医学伦理学部分，依托国家级精品课《医学伦理学》，通过爱课程平台提供在线学习资源。网址：</w:t>
      </w:r>
      <w:r>
        <w:t>https://www.icourses.cn/sCourse/course_2271.html</w:t>
      </w:r>
    </w:p>
    <w:p>
      <w:pPr>
        <w:spacing w:line="360" w:lineRule="auto"/>
        <w:ind w:firstLine="422" w:firstLineChars="200"/>
        <w:rPr>
          <w:b/>
        </w:rPr>
      </w:pPr>
      <w:r>
        <w:rPr>
          <w:rFonts w:hint="eastAsia"/>
          <w:b/>
        </w:rPr>
        <w:t xml:space="preserve"> 十、考核方式</w:t>
      </w:r>
    </w:p>
    <w:p>
      <w:pPr>
        <w:spacing w:line="360" w:lineRule="auto"/>
        <w:ind w:firstLine="420" w:firstLineChars="200"/>
        <w:jc w:val="left"/>
      </w:pPr>
      <w:r>
        <w:rPr>
          <w:rFonts w:hint="eastAsia"/>
        </w:rPr>
        <w:t>1.课程总评：平时成绩和期末考试各占50%。</w:t>
      </w:r>
    </w:p>
    <w:p>
      <w:pPr>
        <w:spacing w:line="360" w:lineRule="auto"/>
        <w:ind w:firstLine="420" w:firstLineChars="200"/>
        <w:jc w:val="left"/>
      </w:pPr>
      <w:r>
        <w:rPr>
          <w:rFonts w:hint="eastAsia"/>
        </w:rPr>
        <w:t>2.平时成绩：课堂面向学生组织小组讨论与反思性写作。</w:t>
      </w:r>
    </w:p>
    <w:p>
      <w:pPr>
        <w:spacing w:line="360" w:lineRule="auto"/>
        <w:ind w:firstLine="420" w:firstLineChars="200"/>
        <w:jc w:val="left"/>
      </w:pPr>
      <w:r>
        <w:rPr>
          <w:rFonts w:hint="eastAsia"/>
        </w:rPr>
        <w:t>3.期末考试：开卷，单项选择题和综合分析题构成。</w:t>
      </w:r>
    </w:p>
    <w:p>
      <w:pPr>
        <w:spacing w:line="360" w:lineRule="auto"/>
        <w:ind w:firstLine="420" w:firstLineChars="200"/>
      </w:pPr>
      <w:r>
        <w:rPr>
          <w:rFonts w:hint="eastAsia"/>
        </w:rPr>
        <w:t>课程将通过课堂、微信群、学习通等形式向学生提供反馈信息。</w:t>
      </w:r>
    </w:p>
    <w:p>
      <w:pPr>
        <w:spacing w:line="288" w:lineRule="auto"/>
        <w:ind w:firstLine="422" w:firstLineChars="200"/>
        <w:rPr>
          <w:b/>
        </w:rPr>
        <w:sectPr>
          <w:footerReference r:id="rId7" w:type="first"/>
          <w:pgSz w:w="11906" w:h="16838"/>
          <w:pgMar w:top="1440" w:right="1800" w:bottom="1440" w:left="1800" w:header="851" w:footer="992" w:gutter="0"/>
          <w:pgNumType w:start="1"/>
          <w:cols w:space="425" w:num="1"/>
          <w:titlePg/>
          <w:docGrid w:type="lines" w:linePitch="312" w:charSpace="0"/>
        </w:sectPr>
      </w:pPr>
    </w:p>
    <w:p>
      <w:pPr>
        <w:spacing w:line="288" w:lineRule="auto"/>
        <w:rPr>
          <w:b/>
        </w:rPr>
      </w:pPr>
      <w:r>
        <w:rPr>
          <w:rFonts w:hint="eastAsia"/>
          <w:b/>
        </w:rPr>
        <w:t>附表1：教学计划表（在相应的表格内填写教学学时数）</w:t>
      </w:r>
    </w:p>
    <w:tbl>
      <w:tblPr>
        <w:tblStyle w:val="7"/>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97"/>
        <w:gridCol w:w="2268"/>
        <w:gridCol w:w="212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07" w:type="dxa"/>
            <w:noWrap/>
            <w:vAlign w:val="center"/>
          </w:tcPr>
          <w:p>
            <w:pPr>
              <w:spacing w:line="288" w:lineRule="auto"/>
              <w:jc w:val="center"/>
              <w:rPr>
                <w:b/>
              </w:rPr>
            </w:pPr>
            <w:r>
              <w:rPr>
                <w:rFonts w:hint="eastAsia"/>
                <w:b/>
              </w:rPr>
              <w:t>序号</w:t>
            </w:r>
          </w:p>
        </w:tc>
        <w:tc>
          <w:tcPr>
            <w:tcW w:w="4997" w:type="dxa"/>
            <w:noWrap/>
            <w:vAlign w:val="center"/>
          </w:tcPr>
          <w:p>
            <w:pPr>
              <w:spacing w:line="288" w:lineRule="auto"/>
              <w:jc w:val="center"/>
              <w:rPr>
                <w:b/>
              </w:rPr>
            </w:pPr>
            <w:r>
              <w:rPr>
                <w:rFonts w:hint="eastAsia"/>
                <w:b/>
              </w:rPr>
              <w:t>学习内容</w:t>
            </w:r>
          </w:p>
        </w:tc>
        <w:tc>
          <w:tcPr>
            <w:tcW w:w="2268" w:type="dxa"/>
            <w:noWrap/>
            <w:vAlign w:val="center"/>
          </w:tcPr>
          <w:p>
            <w:pPr>
              <w:spacing w:line="288" w:lineRule="auto"/>
              <w:jc w:val="center"/>
              <w:rPr>
                <w:b/>
              </w:rPr>
            </w:pPr>
            <w:r>
              <w:rPr>
                <w:rFonts w:hint="eastAsia"/>
                <w:b/>
              </w:rPr>
              <w:t>理论学时</w:t>
            </w:r>
          </w:p>
        </w:tc>
        <w:tc>
          <w:tcPr>
            <w:tcW w:w="2126" w:type="dxa"/>
            <w:noWrap/>
            <w:vAlign w:val="center"/>
          </w:tcPr>
          <w:p>
            <w:pPr>
              <w:spacing w:line="288" w:lineRule="auto"/>
              <w:jc w:val="center"/>
              <w:rPr>
                <w:b/>
              </w:rPr>
            </w:pPr>
            <w:r>
              <w:rPr>
                <w:rFonts w:hint="eastAsia"/>
                <w:b/>
              </w:rPr>
              <w:t>实验学时</w:t>
            </w:r>
          </w:p>
        </w:tc>
        <w:tc>
          <w:tcPr>
            <w:tcW w:w="2977" w:type="dxa"/>
            <w:noWrap/>
            <w:vAlign w:val="center"/>
          </w:tcPr>
          <w:p>
            <w:pPr>
              <w:spacing w:line="288" w:lineRule="auto"/>
              <w:jc w:val="center"/>
              <w:rPr>
                <w:b/>
              </w:rPr>
            </w:pPr>
            <w:r>
              <w:rPr>
                <w:rFonts w:hint="eastAsia"/>
                <w:b/>
              </w:rPr>
              <w:t>是否自主学习</w:t>
            </w:r>
            <w:r>
              <w:rPr>
                <w:b/>
              </w:rPr>
              <w:t>内容</w:t>
            </w:r>
            <w:r>
              <w:rPr>
                <w:rFonts w:hint="eastAsia"/>
                <w:b/>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07" w:type="dxa"/>
            <w:noWrap/>
            <w:vAlign w:val="center"/>
          </w:tcPr>
          <w:p>
            <w:pPr>
              <w:spacing w:line="288" w:lineRule="auto"/>
              <w:jc w:val="center"/>
              <w:rPr>
                <w:b/>
              </w:rPr>
            </w:pPr>
            <w:r>
              <w:rPr>
                <w:rFonts w:hint="eastAsia"/>
                <w:b/>
              </w:rPr>
              <w:t>1</w:t>
            </w:r>
          </w:p>
        </w:tc>
        <w:tc>
          <w:tcPr>
            <w:tcW w:w="4997" w:type="dxa"/>
            <w:noWrap/>
            <w:vAlign w:val="center"/>
          </w:tcPr>
          <w:p>
            <w:pPr>
              <w:rPr>
                <w:bCs/>
              </w:rPr>
            </w:pPr>
            <w:r>
              <w:rPr>
                <w:rFonts w:hint="eastAsia"/>
                <w:bCs/>
              </w:rPr>
              <w:t>第一章   医学人文理论基础</w:t>
            </w:r>
          </w:p>
        </w:tc>
        <w:tc>
          <w:tcPr>
            <w:tcW w:w="2268" w:type="dxa"/>
            <w:noWrap/>
            <w:vAlign w:val="center"/>
          </w:tcPr>
          <w:p>
            <w:pPr>
              <w:spacing w:line="288" w:lineRule="auto"/>
              <w:jc w:val="center"/>
              <w:rPr>
                <w:b/>
              </w:rPr>
            </w:pPr>
            <w:r>
              <w:rPr>
                <w:rFonts w:hint="eastAsia"/>
                <w:b/>
              </w:rPr>
              <w:t>4</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eastAsia="zh-CN"/>
              </w:rPr>
            </w:pPr>
            <w:r>
              <w:rPr>
                <w:rFonts w:hint="eastAsia"/>
                <w:b/>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207" w:type="dxa"/>
            <w:noWrap/>
            <w:vAlign w:val="center"/>
          </w:tcPr>
          <w:p>
            <w:pPr>
              <w:spacing w:line="288" w:lineRule="auto"/>
              <w:jc w:val="center"/>
              <w:rPr>
                <w:b/>
              </w:rPr>
            </w:pPr>
            <w:r>
              <w:rPr>
                <w:rFonts w:hint="eastAsia"/>
                <w:b/>
              </w:rPr>
              <w:t>2</w:t>
            </w:r>
          </w:p>
        </w:tc>
        <w:tc>
          <w:tcPr>
            <w:tcW w:w="4997" w:type="dxa"/>
            <w:noWrap/>
            <w:vAlign w:val="center"/>
          </w:tcPr>
          <w:p>
            <w:pPr>
              <w:spacing w:line="288" w:lineRule="auto"/>
              <w:jc w:val="left"/>
              <w:rPr>
                <w:bCs/>
              </w:rPr>
            </w:pPr>
            <w:r>
              <w:rPr>
                <w:rFonts w:hint="eastAsia"/>
                <w:bCs/>
              </w:rPr>
              <w:t>第二章   医学人文发展简史</w:t>
            </w:r>
          </w:p>
        </w:tc>
        <w:tc>
          <w:tcPr>
            <w:tcW w:w="2268" w:type="dxa"/>
            <w:noWrap/>
            <w:vAlign w:val="center"/>
          </w:tcPr>
          <w:p>
            <w:pPr>
              <w:spacing w:line="288" w:lineRule="auto"/>
              <w:jc w:val="center"/>
              <w:rPr>
                <w:b/>
              </w:rPr>
            </w:pPr>
            <w:r>
              <w:rPr>
                <w:rFonts w:hint="eastAsia"/>
                <w:b/>
              </w:rPr>
              <w:t>8</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eastAsia="zh-CN"/>
              </w:rPr>
            </w:pPr>
            <w:r>
              <w:rPr>
                <w:rFonts w:hint="eastAsia"/>
                <w:b/>
                <w:lang w:val="en-US" w:eastAsia="zh-CN"/>
              </w:rPr>
              <w:t>是（</w:t>
            </w:r>
            <w:r>
              <w:rPr>
                <w:rFonts w:hint="eastAsia"/>
                <w:b/>
              </w:rPr>
              <w:t>2</w:t>
            </w:r>
            <w:r>
              <w:rPr>
                <w:rFonts w:hint="eastAsia"/>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07" w:type="dxa"/>
            <w:noWrap/>
            <w:vAlign w:val="center"/>
          </w:tcPr>
          <w:p>
            <w:pPr>
              <w:spacing w:line="288" w:lineRule="auto"/>
              <w:jc w:val="center"/>
              <w:rPr>
                <w:b/>
              </w:rPr>
            </w:pPr>
            <w:r>
              <w:rPr>
                <w:rFonts w:hint="eastAsia"/>
                <w:b/>
              </w:rPr>
              <w:t>3</w:t>
            </w:r>
          </w:p>
        </w:tc>
        <w:tc>
          <w:tcPr>
            <w:tcW w:w="4997" w:type="dxa"/>
            <w:noWrap/>
            <w:vAlign w:val="center"/>
          </w:tcPr>
          <w:p>
            <w:pPr>
              <w:spacing w:line="288" w:lineRule="auto"/>
              <w:jc w:val="left"/>
              <w:rPr>
                <w:bCs/>
              </w:rPr>
            </w:pPr>
            <w:r>
              <w:rPr>
                <w:rFonts w:hint="eastAsia"/>
                <w:bCs/>
              </w:rPr>
              <w:t>第三章   医学模式</w:t>
            </w:r>
          </w:p>
        </w:tc>
        <w:tc>
          <w:tcPr>
            <w:tcW w:w="2268" w:type="dxa"/>
            <w:noWrap/>
            <w:vAlign w:val="center"/>
          </w:tcPr>
          <w:p>
            <w:pPr>
              <w:spacing w:line="288" w:lineRule="auto"/>
              <w:jc w:val="center"/>
              <w:rPr>
                <w:b/>
              </w:rPr>
            </w:pPr>
            <w:r>
              <w:rPr>
                <w:rFonts w:hint="eastAsia"/>
                <w:b/>
              </w:rPr>
              <w:t>4</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eastAsia="zh-CN"/>
              </w:rPr>
            </w:pPr>
            <w:r>
              <w:rPr>
                <w:rFonts w:hint="eastAsia"/>
                <w:b/>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07" w:type="dxa"/>
            <w:noWrap/>
            <w:vAlign w:val="center"/>
          </w:tcPr>
          <w:p>
            <w:pPr>
              <w:spacing w:line="288" w:lineRule="auto"/>
              <w:jc w:val="center"/>
              <w:rPr>
                <w:b/>
              </w:rPr>
            </w:pPr>
            <w:r>
              <w:rPr>
                <w:rFonts w:hint="eastAsia"/>
                <w:b/>
              </w:rPr>
              <w:t>4</w:t>
            </w:r>
          </w:p>
        </w:tc>
        <w:tc>
          <w:tcPr>
            <w:tcW w:w="4997" w:type="dxa"/>
            <w:noWrap/>
            <w:vAlign w:val="center"/>
          </w:tcPr>
          <w:p>
            <w:pPr>
              <w:rPr>
                <w:bCs/>
              </w:rPr>
            </w:pPr>
            <w:r>
              <w:rPr>
                <w:rFonts w:hint="eastAsia"/>
                <w:bCs/>
              </w:rPr>
              <w:t>第四章   理解生命周期</w:t>
            </w:r>
          </w:p>
        </w:tc>
        <w:tc>
          <w:tcPr>
            <w:tcW w:w="2268" w:type="dxa"/>
            <w:noWrap/>
            <w:vAlign w:val="center"/>
          </w:tcPr>
          <w:p>
            <w:pPr>
              <w:spacing w:line="288" w:lineRule="auto"/>
              <w:jc w:val="center"/>
              <w:rPr>
                <w:b/>
              </w:rPr>
            </w:pPr>
            <w:r>
              <w:rPr>
                <w:rFonts w:hint="eastAsia"/>
                <w:b/>
              </w:rPr>
              <w:t>6</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eastAsia="zh-CN"/>
              </w:rPr>
            </w:pPr>
            <w:r>
              <w:rPr>
                <w:rFonts w:hint="eastAsia"/>
                <w:b/>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noWrap/>
            <w:vAlign w:val="center"/>
          </w:tcPr>
          <w:p>
            <w:pPr>
              <w:spacing w:line="288" w:lineRule="auto"/>
              <w:jc w:val="center"/>
              <w:rPr>
                <w:b/>
              </w:rPr>
            </w:pPr>
            <w:r>
              <w:rPr>
                <w:rFonts w:hint="eastAsia"/>
                <w:b/>
              </w:rPr>
              <w:t>5</w:t>
            </w:r>
          </w:p>
        </w:tc>
        <w:tc>
          <w:tcPr>
            <w:tcW w:w="4997" w:type="dxa"/>
            <w:noWrap/>
            <w:vAlign w:val="center"/>
          </w:tcPr>
          <w:p>
            <w:pPr>
              <w:spacing w:line="288" w:lineRule="auto"/>
              <w:rPr>
                <w:b/>
              </w:rPr>
            </w:pPr>
            <w:r>
              <w:rPr>
                <w:rFonts w:hint="eastAsia"/>
                <w:bCs/>
              </w:rPr>
              <w:t>第五章   医学研究的伦理与法律</w:t>
            </w:r>
          </w:p>
        </w:tc>
        <w:tc>
          <w:tcPr>
            <w:tcW w:w="2268" w:type="dxa"/>
            <w:noWrap/>
            <w:vAlign w:val="center"/>
          </w:tcPr>
          <w:p>
            <w:pPr>
              <w:spacing w:line="288" w:lineRule="auto"/>
              <w:jc w:val="center"/>
              <w:rPr>
                <w:b/>
              </w:rPr>
            </w:pPr>
            <w:r>
              <w:rPr>
                <w:rFonts w:hint="eastAsia"/>
                <w:b/>
              </w:rPr>
              <w:t>6</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eastAsia="zh-CN"/>
              </w:rPr>
            </w:pPr>
            <w:r>
              <w:rPr>
                <w:rFonts w:hint="eastAsia"/>
                <w:b/>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07" w:type="dxa"/>
            <w:noWrap/>
            <w:vAlign w:val="center"/>
          </w:tcPr>
          <w:p>
            <w:pPr>
              <w:spacing w:line="288" w:lineRule="auto"/>
              <w:jc w:val="center"/>
              <w:rPr>
                <w:b/>
              </w:rPr>
            </w:pPr>
            <w:r>
              <w:rPr>
                <w:rFonts w:hint="eastAsia"/>
                <w:b/>
              </w:rPr>
              <w:t>6</w:t>
            </w:r>
          </w:p>
        </w:tc>
        <w:tc>
          <w:tcPr>
            <w:tcW w:w="4997" w:type="dxa"/>
            <w:noWrap/>
            <w:vAlign w:val="center"/>
          </w:tcPr>
          <w:p>
            <w:pPr>
              <w:spacing w:line="288" w:lineRule="auto"/>
              <w:rPr>
                <w:b/>
              </w:rPr>
            </w:pPr>
            <w:r>
              <w:rPr>
                <w:rFonts w:hint="eastAsia"/>
                <w:bCs/>
              </w:rPr>
              <w:t>第六章   医学新技术应用中的伦理与法律</w:t>
            </w:r>
          </w:p>
        </w:tc>
        <w:tc>
          <w:tcPr>
            <w:tcW w:w="2268" w:type="dxa"/>
            <w:noWrap/>
            <w:vAlign w:val="center"/>
          </w:tcPr>
          <w:p>
            <w:pPr>
              <w:spacing w:line="288" w:lineRule="auto"/>
              <w:jc w:val="center"/>
              <w:rPr>
                <w:b/>
              </w:rPr>
            </w:pPr>
            <w:r>
              <w:rPr>
                <w:rFonts w:hint="eastAsia"/>
                <w:b/>
              </w:rPr>
              <w:t>4</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rFonts w:hint="eastAsia" w:eastAsia="宋体"/>
                <w:b/>
                <w:lang w:eastAsia="zh-CN"/>
              </w:rPr>
            </w:pPr>
            <w:r>
              <w:rPr>
                <w:rFonts w:hint="eastAsia"/>
                <w:b/>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07" w:type="dxa"/>
            <w:noWrap/>
            <w:vAlign w:val="center"/>
          </w:tcPr>
          <w:p>
            <w:pPr>
              <w:spacing w:line="288" w:lineRule="auto"/>
              <w:jc w:val="center"/>
              <w:rPr>
                <w:b/>
              </w:rPr>
            </w:pPr>
            <w:r>
              <w:rPr>
                <w:rFonts w:hint="eastAsia"/>
                <w:b/>
              </w:rPr>
              <w:t>总学时</w:t>
            </w:r>
          </w:p>
        </w:tc>
        <w:tc>
          <w:tcPr>
            <w:tcW w:w="4997" w:type="dxa"/>
            <w:noWrap/>
          </w:tcPr>
          <w:p>
            <w:pPr>
              <w:spacing w:line="288" w:lineRule="auto"/>
              <w:jc w:val="left"/>
              <w:rPr>
                <w:b/>
              </w:rPr>
            </w:pPr>
          </w:p>
        </w:tc>
        <w:tc>
          <w:tcPr>
            <w:tcW w:w="2268" w:type="dxa"/>
            <w:noWrap/>
            <w:vAlign w:val="center"/>
          </w:tcPr>
          <w:p>
            <w:pPr>
              <w:spacing w:line="288" w:lineRule="auto"/>
              <w:jc w:val="center"/>
              <w:rPr>
                <w:b/>
              </w:rPr>
            </w:pPr>
            <w:r>
              <w:rPr>
                <w:rFonts w:hint="eastAsia"/>
                <w:b/>
              </w:rPr>
              <w:t>32</w:t>
            </w:r>
          </w:p>
        </w:tc>
        <w:tc>
          <w:tcPr>
            <w:tcW w:w="2126" w:type="dxa"/>
            <w:noWrap/>
            <w:vAlign w:val="center"/>
          </w:tcPr>
          <w:p>
            <w:pPr>
              <w:spacing w:line="288" w:lineRule="auto"/>
              <w:jc w:val="center"/>
              <w:rPr>
                <w:b/>
              </w:rPr>
            </w:pPr>
            <w:r>
              <w:rPr>
                <w:rFonts w:hint="eastAsia"/>
                <w:b/>
              </w:rPr>
              <w:t>0</w:t>
            </w:r>
          </w:p>
        </w:tc>
        <w:tc>
          <w:tcPr>
            <w:tcW w:w="2977" w:type="dxa"/>
            <w:noWrap/>
            <w:vAlign w:val="center"/>
          </w:tcPr>
          <w:p>
            <w:pPr>
              <w:spacing w:line="288" w:lineRule="auto"/>
              <w:jc w:val="center"/>
              <w:rPr>
                <w:b/>
              </w:rPr>
            </w:pPr>
            <w:r>
              <w:rPr>
                <w:rFonts w:hint="eastAsia"/>
                <w:b/>
              </w:rPr>
              <w:t>2</w:t>
            </w:r>
          </w:p>
        </w:tc>
      </w:tr>
    </w:tbl>
    <w:p>
      <w:pPr>
        <w:spacing w:line="288" w:lineRule="auto"/>
        <w:rPr>
          <w:b/>
        </w:rPr>
      </w:pPr>
    </w:p>
    <w:p>
      <w:pPr>
        <w:spacing w:line="288" w:lineRule="auto"/>
        <w:rPr>
          <w:b/>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3NDg1OTU2NGY5OGViN2I1ZTFhNTdhNzUxYWZmMDQifQ=="/>
  </w:docVars>
  <w:rsids>
    <w:rsidRoot w:val="00CC301D"/>
    <w:rsid w:val="000100AC"/>
    <w:rsid w:val="00034406"/>
    <w:rsid w:val="0007606C"/>
    <w:rsid w:val="000D5E4E"/>
    <w:rsid w:val="000E7912"/>
    <w:rsid w:val="00124078"/>
    <w:rsid w:val="00127915"/>
    <w:rsid w:val="00144562"/>
    <w:rsid w:val="001539C3"/>
    <w:rsid w:val="001610BF"/>
    <w:rsid w:val="00187D11"/>
    <w:rsid w:val="001B10CC"/>
    <w:rsid w:val="001B1123"/>
    <w:rsid w:val="001C7FA6"/>
    <w:rsid w:val="001D60E7"/>
    <w:rsid w:val="001F6D56"/>
    <w:rsid w:val="002574DD"/>
    <w:rsid w:val="0027739B"/>
    <w:rsid w:val="00282131"/>
    <w:rsid w:val="0028620A"/>
    <w:rsid w:val="002928BA"/>
    <w:rsid w:val="00346CE8"/>
    <w:rsid w:val="00397B1D"/>
    <w:rsid w:val="003A2E55"/>
    <w:rsid w:val="003C1EBD"/>
    <w:rsid w:val="004637D4"/>
    <w:rsid w:val="004901C4"/>
    <w:rsid w:val="004D16D6"/>
    <w:rsid w:val="004F37E1"/>
    <w:rsid w:val="00531B20"/>
    <w:rsid w:val="00572A56"/>
    <w:rsid w:val="005C0527"/>
    <w:rsid w:val="005D786A"/>
    <w:rsid w:val="005E40B0"/>
    <w:rsid w:val="005F677B"/>
    <w:rsid w:val="006237EB"/>
    <w:rsid w:val="006406B2"/>
    <w:rsid w:val="00663BE9"/>
    <w:rsid w:val="006D4662"/>
    <w:rsid w:val="006E1887"/>
    <w:rsid w:val="006F046B"/>
    <w:rsid w:val="00753228"/>
    <w:rsid w:val="00765DDB"/>
    <w:rsid w:val="00787CF9"/>
    <w:rsid w:val="007D770A"/>
    <w:rsid w:val="007E78C6"/>
    <w:rsid w:val="008043E8"/>
    <w:rsid w:val="00836128"/>
    <w:rsid w:val="00843B05"/>
    <w:rsid w:val="008B14F7"/>
    <w:rsid w:val="008D3818"/>
    <w:rsid w:val="009616AE"/>
    <w:rsid w:val="0096220C"/>
    <w:rsid w:val="009C4347"/>
    <w:rsid w:val="009C62F7"/>
    <w:rsid w:val="009D753B"/>
    <w:rsid w:val="00A14F9D"/>
    <w:rsid w:val="00A51F53"/>
    <w:rsid w:val="00A62BAF"/>
    <w:rsid w:val="00AE1BF7"/>
    <w:rsid w:val="00AF47A8"/>
    <w:rsid w:val="00B25254"/>
    <w:rsid w:val="00BD6BE9"/>
    <w:rsid w:val="00C06114"/>
    <w:rsid w:val="00C27775"/>
    <w:rsid w:val="00C55CEE"/>
    <w:rsid w:val="00C62E59"/>
    <w:rsid w:val="00CB4604"/>
    <w:rsid w:val="00CC301D"/>
    <w:rsid w:val="00CE27A7"/>
    <w:rsid w:val="00CF121E"/>
    <w:rsid w:val="00D16AB9"/>
    <w:rsid w:val="00D1782D"/>
    <w:rsid w:val="00D73705"/>
    <w:rsid w:val="00D80207"/>
    <w:rsid w:val="00DB2711"/>
    <w:rsid w:val="00DB48BA"/>
    <w:rsid w:val="00DC2D05"/>
    <w:rsid w:val="00DD0E51"/>
    <w:rsid w:val="00DE1E48"/>
    <w:rsid w:val="00E27018"/>
    <w:rsid w:val="00E27912"/>
    <w:rsid w:val="00E70566"/>
    <w:rsid w:val="00E76387"/>
    <w:rsid w:val="00F00973"/>
    <w:rsid w:val="00F07974"/>
    <w:rsid w:val="00F12919"/>
    <w:rsid w:val="00F219BF"/>
    <w:rsid w:val="00F219DF"/>
    <w:rsid w:val="00F2740C"/>
    <w:rsid w:val="00F36B6D"/>
    <w:rsid w:val="00F558CE"/>
    <w:rsid w:val="00F9626B"/>
    <w:rsid w:val="00FA7EF9"/>
    <w:rsid w:val="00FB1710"/>
    <w:rsid w:val="03CD72D2"/>
    <w:rsid w:val="090F4408"/>
    <w:rsid w:val="0BE64A21"/>
    <w:rsid w:val="13C702B9"/>
    <w:rsid w:val="2ACA4E40"/>
    <w:rsid w:val="3F78594E"/>
    <w:rsid w:val="47CE5365"/>
    <w:rsid w:val="51D71429"/>
    <w:rsid w:val="57341E0B"/>
    <w:rsid w:val="5F4239F5"/>
    <w:rsid w:val="647156C0"/>
    <w:rsid w:val="65294596"/>
    <w:rsid w:val="6DF15900"/>
    <w:rsid w:val="71DB6D82"/>
    <w:rsid w:val="7F671D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4"/>
    <w:autoRedefine/>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link w:val="13"/>
    <w:autoRedefine/>
    <w:qFormat/>
    <w:uiPriority w:val="0"/>
    <w:rPr>
      <w:rFonts w:ascii="宋体" w:hAnsi="Courier New" w:cs="Courier New"/>
      <w:szCs w:val="21"/>
    </w:rPr>
  </w:style>
  <w:style w:type="paragraph" w:styleId="4">
    <w:name w:val="Balloon Text"/>
    <w:basedOn w:val="1"/>
    <w:link w:val="15"/>
    <w:autoRedefine/>
    <w:qFormat/>
    <w:uiPriority w:val="0"/>
    <w:rPr>
      <w:sz w:val="18"/>
      <w:szCs w:val="18"/>
    </w:rPr>
  </w:style>
  <w:style w:type="paragraph" w:styleId="5">
    <w:name w:val="footer"/>
    <w:basedOn w:val="1"/>
    <w:link w:val="16"/>
    <w:autoRedefine/>
    <w:qFormat/>
    <w:uiPriority w:val="0"/>
    <w:pPr>
      <w:tabs>
        <w:tab w:val="center" w:pos="4153"/>
        <w:tab w:val="right" w:pos="8306"/>
      </w:tabs>
      <w:snapToGrid w:val="0"/>
      <w:jc w:val="center"/>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basedOn w:val="9"/>
    <w:autoRedefine/>
    <w:qFormat/>
    <w:uiPriority w:val="20"/>
    <w:rPr>
      <w:i/>
      <w:iCs/>
    </w:rPr>
  </w:style>
  <w:style w:type="character" w:styleId="11">
    <w:name w:val="Hyperlink"/>
    <w:autoRedefine/>
    <w:unhideWhenUsed/>
    <w:qFormat/>
    <w:uiPriority w:val="99"/>
    <w:rPr>
      <w:color w:val="0000FF"/>
      <w:u w:val="single"/>
    </w:rPr>
  </w:style>
  <w:style w:type="character" w:customStyle="1" w:styleId="12">
    <w:name w:val="纯文本 字符"/>
    <w:autoRedefine/>
    <w:qFormat/>
    <w:uiPriority w:val="0"/>
    <w:rPr>
      <w:rFonts w:ascii="宋体" w:hAnsi="Courier New" w:cs="Courier New"/>
      <w:kern w:val="2"/>
      <w:sz w:val="21"/>
      <w:szCs w:val="21"/>
    </w:rPr>
  </w:style>
  <w:style w:type="character" w:customStyle="1" w:styleId="13">
    <w:name w:val="纯文本 Char"/>
    <w:link w:val="3"/>
    <w:autoRedefine/>
    <w:qFormat/>
    <w:uiPriority w:val="0"/>
    <w:rPr>
      <w:rFonts w:ascii="宋体" w:hAnsi="Courier New" w:cs="Courier New"/>
      <w:kern w:val="2"/>
      <w:sz w:val="21"/>
      <w:szCs w:val="21"/>
    </w:rPr>
  </w:style>
  <w:style w:type="character" w:customStyle="1" w:styleId="14">
    <w:name w:val="标题 1 Char"/>
    <w:basedOn w:val="9"/>
    <w:link w:val="2"/>
    <w:autoRedefine/>
    <w:qFormat/>
    <w:uiPriority w:val="9"/>
    <w:rPr>
      <w:rFonts w:ascii="宋体" w:hAnsi="宋体" w:cs="宋体"/>
      <w:b/>
      <w:bCs/>
      <w:kern w:val="36"/>
      <w:sz w:val="48"/>
      <w:szCs w:val="48"/>
    </w:rPr>
  </w:style>
  <w:style w:type="character" w:customStyle="1" w:styleId="15">
    <w:name w:val="批注框文本 Char"/>
    <w:basedOn w:val="9"/>
    <w:link w:val="4"/>
    <w:autoRedefine/>
    <w:qFormat/>
    <w:uiPriority w:val="0"/>
    <w:rPr>
      <w:kern w:val="2"/>
      <w:sz w:val="18"/>
      <w:szCs w:val="18"/>
    </w:rPr>
  </w:style>
  <w:style w:type="character" w:customStyle="1" w:styleId="16">
    <w:name w:val="页脚 Char"/>
    <w:basedOn w:val="9"/>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AEE9DF-1295-4DBC-A228-ECE3095A6255}">
  <ds:schemaRefs/>
</ds:datastoreItem>
</file>

<file path=docProps/app.xml><?xml version="1.0" encoding="utf-8"?>
<Properties xmlns="http://schemas.openxmlformats.org/officeDocument/2006/extended-properties" xmlns:vt="http://schemas.openxmlformats.org/officeDocument/2006/docPropsVTypes">
  <Template>Normal</Template>
  <Company>乐陵市卓诚计算机公司</Company>
  <Pages>5</Pages>
  <Words>343</Words>
  <Characters>1957</Characters>
  <Lines>16</Lines>
  <Paragraphs>4</Paragraphs>
  <TotalTime>8</TotalTime>
  <ScaleCrop>false</ScaleCrop>
  <LinksUpToDate>false</LinksUpToDate>
  <CharactersWithSpaces>2296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2024-03-20T09:56:00Z</dcterms:created>
  <dc:creator>ZC User</dc:creator>
  <cp:lastModifiedBy>栖园</cp:lastModifiedBy>
  <cp:lastPrinted>2024-03-20T10:45:00Z</cp:lastPrinted>
  <dcterms:modified xsi:type="dcterms:W3CDTF">2024-04-12T09:51:52Z</dcterms:modified>
  <dc:title>基 础 医 学 专 业 课 程 介 绍 </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77C564010BDF498D834E352FB3B49E6C_12</vt:lpwstr>
  </property>
</Properties>
</file>